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32"/>
          <w:szCs w:val="32"/>
        </w:rPr>
        <w:t xml:space="preserve">АНОНС                  </w:t>
      </w:r>
      <w:r>
        <w:rPr>
          <w:rFonts w:ascii="Segoe UI" w:hAnsi="Segoe UI" w:cs="Segoe UI"/>
          <w:b/>
          <w:sz w:val="28"/>
          <w:szCs w:val="28"/>
        </w:rPr>
        <w:t xml:space="preserve">Прямая линия для пожилых людей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 преддверии Международного дня пожилых людей 27 сентября с 10 до 11.00 Управление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области проведет прямую линию для людей почтенного возраста.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мероприятия председатель Молодежного совета Управления, заместитель начальника отдела правового обеспечения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следующие вопросы: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Какой сегодня порядок обращения за оформлением недвижимости?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обезопасить себя от мошенников в сфере недвижимости?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В каких случаях необходимо написать заявление о невозможности регистрации недвижимости без личного участия собственника?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Стоит ли менять старые документы на квартиру, дом или земельный участок на новые?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Нужно ли устанавливать границы земельного участка, и что делать тем, у кого они не уточнены?</w:t>
      </w:r>
    </w:p>
    <w:p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27 сентября 2017 года, в среду, с 10.00 до 11.00 часов по телефону (846) 33-22-555.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44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EAE7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6331-70B6-4C37-896B-D6F616A3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2017-07-04T09:11:00Z</cp:lastPrinted>
  <dcterms:created xsi:type="dcterms:W3CDTF">2017-09-20T13:13:00Z</dcterms:created>
  <dcterms:modified xsi:type="dcterms:W3CDTF">2017-09-20T13:13:00Z</dcterms:modified>
</cp:coreProperties>
</file>